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218" w:rsidRPr="00465007" w:rsidRDefault="00465007" w:rsidP="004650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MOCION INSITUCIONAL POR LOS DAÑOS </w:t>
      </w:r>
      <w:r w:rsidR="004C20B1" w:rsidRPr="004C20B1">
        <w:rPr>
          <w:rFonts w:ascii="Arial" w:hAnsi="Arial" w:cs="Arial"/>
          <w:b/>
        </w:rPr>
        <w:t>CAUSADOS POR EL TEMPORAL DE VIENTO Y CALIMA LOS DÍAS 22, 23 Y 24 DE FEBRERO DE 2020</w:t>
      </w:r>
    </w:p>
    <w:p w:rsidR="00131218" w:rsidRDefault="00131218" w:rsidP="001312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Ayuntamiento de Guía de </w:t>
      </w:r>
      <w:proofErr w:type="spellStart"/>
      <w:r>
        <w:rPr>
          <w:rFonts w:ascii="Arial" w:hAnsi="Arial" w:cs="Arial"/>
        </w:rPr>
        <w:t>Isora</w:t>
      </w:r>
      <w:proofErr w:type="spellEnd"/>
      <w:r>
        <w:rPr>
          <w:rFonts w:ascii="Arial" w:hAnsi="Arial" w:cs="Arial"/>
        </w:rPr>
        <w:t>, a la vista de los daños causados por el temporal de viento y calima los días 22, 23 y 24 de febrero de 2020, con especial incidencia en el sector primario que han provocado daños muy graves sobre las producciones ganaderas y agrarias</w:t>
      </w:r>
      <w:r w:rsidR="004C20B1">
        <w:rPr>
          <w:rFonts w:ascii="Arial" w:hAnsi="Arial" w:cs="Arial"/>
        </w:rPr>
        <w:t xml:space="preserve"> en cultivos e infraestructuras.</w:t>
      </w:r>
    </w:p>
    <w:p w:rsidR="00131218" w:rsidRDefault="004C20B1" w:rsidP="001312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</w:t>
      </w:r>
      <w:r w:rsidR="00131218">
        <w:rPr>
          <w:rFonts w:ascii="Arial" w:hAnsi="Arial" w:cs="Arial"/>
        </w:rPr>
        <w:t>tras visita a la zona afectada con la Consejera de Agricultura, Ganadería y Pesca del Ejecutivo Regional, el Presidente del Cabildo Insular y Consejero de Agricultura, Ganadería y Pesca, Jefe de Servicio de Agricultura y Desarrollo Rural, técnicos de extensión agraria así como presidentes de las Cooperativas agrícolas y responsables de los seguros agrarios</w:t>
      </w:r>
      <w:r w:rsidR="00C44264">
        <w:rPr>
          <w:rFonts w:ascii="Arial" w:hAnsi="Arial" w:cs="Arial"/>
        </w:rPr>
        <w:t xml:space="preserve">, y a la vista de los informes recabados, </w:t>
      </w:r>
      <w:r>
        <w:rPr>
          <w:rFonts w:ascii="Arial" w:hAnsi="Arial" w:cs="Arial"/>
        </w:rPr>
        <w:t xml:space="preserve">es por lo que </w:t>
      </w:r>
      <w:r w:rsidR="001312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eleva al Pleno de esta Corporación </w:t>
      </w:r>
      <w:r w:rsidR="00131218">
        <w:rPr>
          <w:rFonts w:ascii="Arial" w:hAnsi="Arial" w:cs="Arial"/>
        </w:rPr>
        <w:t xml:space="preserve">la siguiente moción institucional motivada en los hechos y consideraciones siguientes: </w:t>
      </w:r>
    </w:p>
    <w:p w:rsidR="00131218" w:rsidRPr="004C20B1" w:rsidRDefault="004C20B1" w:rsidP="004C20B1">
      <w:pPr>
        <w:jc w:val="center"/>
        <w:rPr>
          <w:rFonts w:ascii="Arial" w:hAnsi="Arial" w:cs="Arial"/>
        </w:rPr>
      </w:pPr>
      <w:r w:rsidRPr="004C20B1">
        <w:rPr>
          <w:rFonts w:ascii="Arial" w:hAnsi="Arial" w:cs="Arial"/>
        </w:rPr>
        <w:t>ANTECEDENTES</w:t>
      </w:r>
    </w:p>
    <w:p w:rsidR="00131218" w:rsidRDefault="00131218" w:rsidP="001312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año agrícola 2019-2020 ha comenzado siendo muy seco. Los datos de precipitación recogidos en la red de estaciones </w:t>
      </w:r>
      <w:proofErr w:type="spellStart"/>
      <w:r>
        <w:rPr>
          <w:rFonts w:ascii="Arial" w:hAnsi="Arial" w:cs="Arial"/>
        </w:rPr>
        <w:t>agrometeorológicas</w:t>
      </w:r>
      <w:proofErr w:type="spellEnd"/>
      <w:r>
        <w:rPr>
          <w:rFonts w:ascii="Arial" w:hAnsi="Arial" w:cs="Arial"/>
        </w:rPr>
        <w:t xml:space="preserve"> del Cabildo Insular de Tenerife desde el 1 de octubre de 2019, muestran una reducción con respecto a la media de la serie histórica disponible (2001-2020), destacando la reducción de precipitaciones en la vertiente sur.</w:t>
      </w:r>
    </w:p>
    <w:p w:rsidR="00131218" w:rsidRDefault="00131218" w:rsidP="001312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el año agrícola 2018-2019 y en el comienzo del 2019-2020 se han registrado las temperaturas máximas absolutas en los meses de invierno más altas de la serie histórica disponible.</w:t>
      </w:r>
    </w:p>
    <w:p w:rsidR="00131218" w:rsidRDefault="00131218" w:rsidP="001312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escasez de lluvia ha agravado la escasez de agua para riego en el sur de Tenerife donde la sequía es de proporciones enormes y se espera causen al igual que el año anterior una reducción de rendimientos considerable.</w:t>
      </w:r>
    </w:p>
    <w:p w:rsidR="00131218" w:rsidRDefault="00131218" w:rsidP="001312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esta situación, los episodios de calima y viento sufridos los días 22,23 y 24 unido a la baja humedad relativa y temperaturas elevadas han perjudicado un alto porcentaje de la producción no sólo del </w:t>
      </w:r>
      <w:r w:rsidR="00C44264">
        <w:rPr>
          <w:rFonts w:ascii="Arial" w:hAnsi="Arial" w:cs="Arial"/>
        </w:rPr>
        <w:t xml:space="preserve">año </w:t>
      </w:r>
      <w:r>
        <w:rPr>
          <w:rFonts w:ascii="Arial" w:hAnsi="Arial" w:cs="Arial"/>
        </w:rPr>
        <w:t xml:space="preserve">2020 </w:t>
      </w:r>
      <w:r w:rsidR="00C44264">
        <w:rPr>
          <w:rFonts w:ascii="Arial" w:hAnsi="Arial" w:cs="Arial"/>
        </w:rPr>
        <w:t xml:space="preserve">comprometiendo </w:t>
      </w:r>
      <w:r>
        <w:rPr>
          <w:rFonts w:ascii="Arial" w:hAnsi="Arial" w:cs="Arial"/>
        </w:rPr>
        <w:t xml:space="preserve">también </w:t>
      </w:r>
      <w:r w:rsidR="00C4426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la </w:t>
      </w:r>
      <w:r w:rsidR="00C44264">
        <w:rPr>
          <w:rFonts w:ascii="Arial" w:hAnsi="Arial" w:cs="Arial"/>
        </w:rPr>
        <w:t xml:space="preserve">producción del año </w:t>
      </w:r>
      <w:r>
        <w:rPr>
          <w:rFonts w:ascii="Arial" w:hAnsi="Arial" w:cs="Arial"/>
        </w:rPr>
        <w:t>2021.</w:t>
      </w:r>
    </w:p>
    <w:p w:rsidR="00131218" w:rsidRDefault="00131218" w:rsidP="00131218">
      <w:pPr>
        <w:ind w:firstLine="165"/>
        <w:jc w:val="both"/>
        <w:rPr>
          <w:rFonts w:ascii="Arial" w:hAnsi="Arial" w:cs="Arial"/>
        </w:rPr>
      </w:pPr>
      <w:r>
        <w:rPr>
          <w:rFonts w:ascii="Arial" w:hAnsi="Arial" w:cs="Arial"/>
        </w:rPr>
        <w:t>Los informes recogen que:</w:t>
      </w:r>
    </w:p>
    <w:p w:rsidR="00131218" w:rsidRPr="00EC4B7A" w:rsidRDefault="00131218" w:rsidP="0013121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EC4B7A">
        <w:rPr>
          <w:rFonts w:ascii="Arial" w:hAnsi="Arial" w:cs="Arial"/>
        </w:rPr>
        <w:t>Los daños en las infraestructuras agrícolas (estructuras invernaderos (tubos, como cubiertas), cortavientos de mallas y de obra) se centran en la zona de costa y en las medianías sobre todo en explotaciones de platanera y hortícolas. El porcentaje estimado oscila en el entorno de un 30% y 40% de daños, que en algunas explotaciones llegan a ser muy considerables.</w:t>
      </w:r>
    </w:p>
    <w:p w:rsidR="00131218" w:rsidRPr="00EC4B7A" w:rsidRDefault="00131218" w:rsidP="0013121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Los daños e</w:t>
      </w:r>
      <w:r w:rsidRPr="00EC4B7A">
        <w:rPr>
          <w:rFonts w:ascii="Arial" w:hAnsi="Arial" w:cs="Arial"/>
        </w:rPr>
        <w:t>n explotaciones ganaderas</w:t>
      </w:r>
      <w:r>
        <w:rPr>
          <w:rFonts w:ascii="Arial" w:hAnsi="Arial" w:cs="Arial"/>
        </w:rPr>
        <w:t xml:space="preserve"> se centran en </w:t>
      </w:r>
      <w:r w:rsidRPr="00EC4B7A">
        <w:rPr>
          <w:rFonts w:ascii="Arial" w:hAnsi="Arial" w:cs="Arial"/>
        </w:rPr>
        <w:t xml:space="preserve">rotura de las cubiertas de los corrales sin paredes. </w:t>
      </w:r>
    </w:p>
    <w:p w:rsidR="00131218" w:rsidRDefault="00131218" w:rsidP="0013121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EC4B7A">
        <w:rPr>
          <w:rFonts w:ascii="Arial" w:hAnsi="Arial" w:cs="Arial"/>
        </w:rPr>
        <w:t>Los daños que causan un descenso de rendimiento en los cultivos, en la zona de medianía</w:t>
      </w:r>
      <w:r>
        <w:rPr>
          <w:rFonts w:ascii="Arial" w:hAnsi="Arial" w:cs="Arial"/>
        </w:rPr>
        <w:t xml:space="preserve"> son:</w:t>
      </w:r>
      <w:r w:rsidRPr="00EC4B7A">
        <w:rPr>
          <w:rFonts w:ascii="Arial" w:hAnsi="Arial" w:cs="Arial"/>
        </w:rPr>
        <w:t xml:space="preserve"> Frutales templados (10-20% flores quemadas), cítricos (50-60% fruta caída), Hortalizas aire libre (</w:t>
      </w:r>
      <w:r>
        <w:rPr>
          <w:rFonts w:ascii="Arial" w:hAnsi="Arial" w:cs="Arial"/>
        </w:rPr>
        <w:t xml:space="preserve">60-80%), tomate (60%) y aguacate (40% total por caída de flores y defoliación). En la zona de la costa: Platanera (70%-80% principalmente desfoliado y desflecado en platanera al aire libre y caída de plantas más de un 30-40%), aguacate (50-60% total por caída de frutos </w:t>
      </w:r>
      <w:r>
        <w:rPr>
          <w:rFonts w:ascii="Arial" w:hAnsi="Arial" w:cs="Arial"/>
        </w:rPr>
        <w:lastRenderedPageBreak/>
        <w:t>maduros en árbol y caída de flores), tomates (60%), subtropicales (30%) y aromáticas invernadero (albahaca) daños muy importantes por la pérdida total de plantas.</w:t>
      </w:r>
    </w:p>
    <w:p w:rsidR="00131218" w:rsidRPr="007B3D5F" w:rsidRDefault="00C44264" w:rsidP="001312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Habida cuenta </w:t>
      </w:r>
      <w:r w:rsidR="00131218">
        <w:rPr>
          <w:rFonts w:ascii="Arial" w:hAnsi="Arial" w:cs="Arial"/>
        </w:rPr>
        <w:t xml:space="preserve">a que Canarias es una de las Regiones </w:t>
      </w:r>
      <w:proofErr w:type="spellStart"/>
      <w:r w:rsidR="00131218">
        <w:rPr>
          <w:rFonts w:ascii="Arial" w:hAnsi="Arial" w:cs="Arial"/>
        </w:rPr>
        <w:t>Ultraperiféricas</w:t>
      </w:r>
      <w:proofErr w:type="spellEnd"/>
      <w:r w:rsidR="00131218">
        <w:rPr>
          <w:rFonts w:ascii="Arial" w:hAnsi="Arial" w:cs="Arial"/>
        </w:rPr>
        <w:t xml:space="preserve"> de la Unión Europea y representa el 52% de la producción de plátano</w:t>
      </w:r>
      <w:r>
        <w:rPr>
          <w:rFonts w:ascii="Arial" w:hAnsi="Arial" w:cs="Arial"/>
        </w:rPr>
        <w:t>,</w:t>
      </w:r>
      <w:r w:rsidR="001312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cumplimentándose </w:t>
      </w:r>
      <w:r w:rsidR="00131218">
        <w:rPr>
          <w:rFonts w:ascii="Arial" w:hAnsi="Arial" w:cs="Arial"/>
        </w:rPr>
        <w:t xml:space="preserve">los estándares y normativas europeos en materia medioambiental, social, laboral y de producción. En toda España las hectáreas cultivadas son 8.639, de las cuales 6.852ha corresponden a Canarias siendo Tenerife con 3.894ha la primera en producción donde 867 ha de cultivo están en Guía de </w:t>
      </w:r>
      <w:proofErr w:type="spellStart"/>
      <w:r w:rsidR="00131218">
        <w:rPr>
          <w:rFonts w:ascii="Arial" w:hAnsi="Arial" w:cs="Arial"/>
        </w:rPr>
        <w:t>Isora</w:t>
      </w:r>
      <w:proofErr w:type="spellEnd"/>
      <w:r w:rsidR="00131218">
        <w:rPr>
          <w:rFonts w:ascii="Arial" w:hAnsi="Arial" w:cs="Arial"/>
        </w:rPr>
        <w:t xml:space="preserve"> seguida de Arona con 712,80ha.</w:t>
      </w:r>
    </w:p>
    <w:p w:rsidR="00131218" w:rsidRDefault="00C44264" w:rsidP="002E19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todo lo anterior se propone </w:t>
      </w:r>
      <w:r w:rsidR="002E1933">
        <w:rPr>
          <w:rFonts w:ascii="Arial" w:hAnsi="Arial" w:cs="Arial"/>
        </w:rPr>
        <w:t xml:space="preserve">al Pleno de esta Corporación la adopción del siguiente ACUERDO: </w:t>
      </w:r>
    </w:p>
    <w:p w:rsidR="00131218" w:rsidRDefault="002E1933" w:rsidP="0013121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Primero.- </w:t>
      </w:r>
      <w:r w:rsidR="00131218">
        <w:rPr>
          <w:rFonts w:ascii="Arial" w:hAnsi="Arial" w:cs="Arial"/>
        </w:rPr>
        <w:t xml:space="preserve"> Instar al Cabildo de Tenerife tras realizar las valoraciones de los daños a:</w:t>
      </w:r>
    </w:p>
    <w:p w:rsidR="00131218" w:rsidRDefault="00131218" w:rsidP="00131218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búsqueda urgente de una zona de maduración de plantas de plataneras en el sur de Tenerife para garantizar una cantidad suficiente para los afectados.</w:t>
      </w:r>
    </w:p>
    <w:p w:rsidR="00131218" w:rsidRDefault="00131218" w:rsidP="00131218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Estudiar posible bonificación en el PIRS para los residuos tales como mallas y plásticos de los invernaderos.</w:t>
      </w:r>
    </w:p>
    <w:p w:rsidR="00131218" w:rsidRDefault="00131218" w:rsidP="00131218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Valorar una tarifa más reducida del agua dado la situación de sequía y problemas actuales tras el temporal de viento y calima.</w:t>
      </w:r>
    </w:p>
    <w:p w:rsidR="00131218" w:rsidRDefault="00131218" w:rsidP="00131218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Remitir informes al Gobierno de Canarias sobre la situación de sequía que viene padeciendo el sur de Tenerife.</w:t>
      </w:r>
    </w:p>
    <w:p w:rsidR="00131218" w:rsidRDefault="002E1933" w:rsidP="0013121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Segundo.-</w:t>
      </w:r>
      <w:r w:rsidR="00131218">
        <w:rPr>
          <w:rFonts w:ascii="Arial" w:hAnsi="Arial" w:cs="Arial"/>
        </w:rPr>
        <w:t xml:space="preserve"> Instar al Gobierno de Canarias a:</w:t>
      </w:r>
    </w:p>
    <w:p w:rsidR="00131218" w:rsidRDefault="00131218" w:rsidP="0013121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DB4CE4">
        <w:rPr>
          <w:rFonts w:ascii="Arial" w:hAnsi="Arial" w:cs="Arial"/>
        </w:rPr>
        <w:t>abilitar líneas de financiación para paliar los daños producidos en las infraestructuras y en el cultivo y por tanto en la producció</w:t>
      </w:r>
      <w:r>
        <w:rPr>
          <w:rFonts w:ascii="Arial" w:hAnsi="Arial" w:cs="Arial"/>
        </w:rPr>
        <w:t>n de la cosecha actual como de la próxima también pérdida.</w:t>
      </w:r>
    </w:p>
    <w:p w:rsidR="00131218" w:rsidRPr="00DB4CE4" w:rsidRDefault="00131218" w:rsidP="0013121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Seguir fomentando las ayudas para las diferentes plagas.</w:t>
      </w:r>
    </w:p>
    <w:p w:rsidR="00131218" w:rsidRDefault="00131218" w:rsidP="0013121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Bonificar la cotización de la seguridad social y el IRPF de los/as agricultores/as.</w:t>
      </w:r>
    </w:p>
    <w:p w:rsidR="00131218" w:rsidRDefault="00131218" w:rsidP="0013121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Incrementar la partida destinada a los seguros agrarios con el fin de fomentar que los/as agricultores/as tengan protegidas sus producciones ante estas circunstancias.</w:t>
      </w:r>
    </w:p>
    <w:p w:rsidR="00131218" w:rsidRPr="00954B54" w:rsidRDefault="00131218" w:rsidP="00131218">
      <w:pPr>
        <w:jc w:val="both"/>
        <w:rPr>
          <w:rFonts w:ascii="Arial" w:hAnsi="Arial" w:cs="Arial"/>
        </w:rPr>
      </w:pPr>
      <w:r w:rsidRPr="00954B54">
        <w:rPr>
          <w:rFonts w:ascii="Arial" w:hAnsi="Arial" w:cs="Arial"/>
          <w:b/>
          <w:bCs/>
        </w:rPr>
        <w:t>Tercero</w:t>
      </w:r>
      <w:r w:rsidR="002E1933">
        <w:rPr>
          <w:rFonts w:ascii="Arial" w:hAnsi="Arial" w:cs="Arial"/>
          <w:b/>
          <w:bCs/>
        </w:rPr>
        <w:t xml:space="preserve">.- </w:t>
      </w:r>
      <w:bookmarkStart w:id="0" w:name="_GoBack"/>
      <w:bookmarkEnd w:id="0"/>
      <w:r w:rsidRPr="00954B54">
        <w:rPr>
          <w:rFonts w:ascii="Arial" w:hAnsi="Arial" w:cs="Arial"/>
        </w:rPr>
        <w:t>El Ayuntamiento adoptará los mecanismos de colaboración precisos para que l</w:t>
      </w:r>
      <w:r>
        <w:rPr>
          <w:rFonts w:ascii="Arial" w:hAnsi="Arial" w:cs="Arial"/>
        </w:rPr>
        <w:t>os/las agric</w:t>
      </w:r>
      <w:r w:rsidRPr="00954B54">
        <w:rPr>
          <w:rFonts w:ascii="Arial" w:hAnsi="Arial" w:cs="Arial"/>
        </w:rPr>
        <w:t>ultor</w:t>
      </w:r>
      <w:r>
        <w:rPr>
          <w:rFonts w:ascii="Arial" w:hAnsi="Arial" w:cs="Arial"/>
        </w:rPr>
        <w:t>es/</w:t>
      </w:r>
      <w:r w:rsidRPr="00954B54">
        <w:rPr>
          <w:rFonts w:ascii="Arial" w:hAnsi="Arial" w:cs="Arial"/>
        </w:rPr>
        <w:t>as y ganader</w:t>
      </w:r>
      <w:r>
        <w:rPr>
          <w:rFonts w:ascii="Arial" w:hAnsi="Arial" w:cs="Arial"/>
        </w:rPr>
        <w:t>os/</w:t>
      </w:r>
      <w:r w:rsidRPr="00954B54">
        <w:rPr>
          <w:rFonts w:ascii="Arial" w:hAnsi="Arial" w:cs="Arial"/>
        </w:rPr>
        <w:t xml:space="preserve">as que hayan sufrido daños y se acojan a las </w:t>
      </w:r>
      <w:r>
        <w:rPr>
          <w:rFonts w:ascii="Arial" w:hAnsi="Arial" w:cs="Arial"/>
        </w:rPr>
        <w:t xml:space="preserve">posibles líneas de </w:t>
      </w:r>
      <w:r w:rsidRPr="00954B54">
        <w:rPr>
          <w:rFonts w:ascii="Arial" w:hAnsi="Arial" w:cs="Arial"/>
        </w:rPr>
        <w:t xml:space="preserve">subvenciones puedan tener sus licencias de obras lo antes posible. Al mismo tiempo </w:t>
      </w:r>
      <w:r>
        <w:rPr>
          <w:rFonts w:ascii="Arial" w:hAnsi="Arial" w:cs="Arial"/>
        </w:rPr>
        <w:t>estudiará</w:t>
      </w:r>
      <w:r w:rsidRPr="00954B54">
        <w:rPr>
          <w:rFonts w:ascii="Arial" w:hAnsi="Arial" w:cs="Arial"/>
        </w:rPr>
        <w:t xml:space="preserve"> la bonificación del Impuesto de Bienes Inmuebles, iniciando los trámites oportunos si fuese viable.</w:t>
      </w:r>
    </w:p>
    <w:p w:rsidR="00131218" w:rsidRPr="004B1A46" w:rsidRDefault="00131218" w:rsidP="00131218">
      <w:pPr>
        <w:jc w:val="both"/>
        <w:rPr>
          <w:rFonts w:ascii="Arial" w:hAnsi="Arial" w:cs="Arial"/>
        </w:rPr>
      </w:pPr>
      <w:r w:rsidRPr="00954B54">
        <w:rPr>
          <w:rFonts w:ascii="Arial" w:hAnsi="Arial" w:cs="Arial"/>
          <w:b/>
          <w:bCs/>
        </w:rPr>
        <w:t>Cuarto</w:t>
      </w:r>
      <w:r>
        <w:rPr>
          <w:rFonts w:ascii="Arial" w:hAnsi="Arial" w:cs="Arial"/>
        </w:rPr>
        <w:t>: Remitir copia de este acuerdo al Cabildo de Tenerife, a la Consejería de Agricultura Ganadería y Pesca del Gobierno de Canarias.</w:t>
      </w:r>
    </w:p>
    <w:p w:rsidR="00131218" w:rsidRDefault="00131218" w:rsidP="00131218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666666"/>
          <w:lang w:eastAsia="es-ES"/>
        </w:rPr>
      </w:pPr>
    </w:p>
    <w:p w:rsidR="00565753" w:rsidRDefault="00565753">
      <w:pPr>
        <w:pStyle w:val="Textoindependiente"/>
      </w:pPr>
    </w:p>
    <w:sectPr w:rsidR="005657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95" w:right="1701" w:bottom="1526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E83" w:rsidRDefault="00575E83">
      <w:r>
        <w:separator/>
      </w:r>
    </w:p>
  </w:endnote>
  <w:endnote w:type="continuationSeparator" w:id="0">
    <w:p w:rsidR="00575E83" w:rsidRDefault="0057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53" w:rsidRDefault="00565753">
    <w:pPr>
      <w:pStyle w:val="Textoindependiente"/>
      <w:pBdr>
        <w:top w:val="single" w:sz="4" w:space="5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sz w:val="16"/>
      </w:rPr>
    </w:pPr>
    <w:r>
      <w:rPr>
        <w:b/>
      </w:rPr>
      <w:t xml:space="preserve">Ayuntamiento de Guía de </w:t>
    </w:r>
    <w:proofErr w:type="spellStart"/>
    <w:r>
      <w:rPr>
        <w:b/>
      </w:rPr>
      <w:t>Isora</w:t>
    </w:r>
    <w:proofErr w:type="spellEnd"/>
  </w:p>
  <w:p w:rsidR="00565753" w:rsidRDefault="00565753">
    <w:pPr>
      <w:pStyle w:val="Textoindependiente"/>
      <w:jc w:val="center"/>
    </w:pPr>
    <w:r>
      <w:rPr>
        <w:sz w:val="16"/>
      </w:rPr>
      <w:t xml:space="preserve">Calle del Ayuntamiento, 4, Guía de </w:t>
    </w:r>
    <w:proofErr w:type="spellStart"/>
    <w:r>
      <w:rPr>
        <w:sz w:val="16"/>
      </w:rPr>
      <w:t>Isora</w:t>
    </w:r>
    <w:proofErr w:type="spellEnd"/>
    <w:r>
      <w:rPr>
        <w:sz w:val="16"/>
      </w:rPr>
      <w:t>. 38680 (Santa Cruz de Tenerife). Tfno. 922 850 100. Fax: 922 850 354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53" w:rsidRDefault="005657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E83" w:rsidRDefault="00575E83">
      <w:r>
        <w:separator/>
      </w:r>
    </w:p>
  </w:footnote>
  <w:footnote w:type="continuationSeparator" w:id="0">
    <w:p w:rsidR="00575E83" w:rsidRDefault="00575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53" w:rsidRDefault="00FA1BC6">
    <w:pPr>
      <w:pStyle w:val="Encabezado"/>
    </w:pPr>
    <w:r>
      <w:rPr>
        <w:noProof/>
        <w:lang w:eastAsia="es-ES"/>
      </w:rPr>
      <w:drawing>
        <wp:inline distT="0" distB="0" distL="0" distR="0">
          <wp:extent cx="698500" cy="698500"/>
          <wp:effectExtent l="0" t="0" r="635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8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65753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53" w:rsidRDefault="005657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632E"/>
    <w:multiLevelType w:val="hybridMultilevel"/>
    <w:tmpl w:val="A32A33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5342F"/>
    <w:multiLevelType w:val="hybridMultilevel"/>
    <w:tmpl w:val="5D5AC2C8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86B4E9B"/>
    <w:multiLevelType w:val="hybridMultilevel"/>
    <w:tmpl w:val="8E5C04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18"/>
    <w:rsid w:val="00131218"/>
    <w:rsid w:val="002E1933"/>
    <w:rsid w:val="00465007"/>
    <w:rsid w:val="004B6A2C"/>
    <w:rsid w:val="004C20B1"/>
    <w:rsid w:val="00565753"/>
    <w:rsid w:val="00575E83"/>
    <w:rsid w:val="005A005B"/>
    <w:rsid w:val="00C44264"/>
    <w:rsid w:val="00FA1BC6"/>
    <w:rsid w:val="00FB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1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12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218"/>
    <w:rPr>
      <w:rFonts w:ascii="Tahoma" w:eastAsia="Lucida Sans Unicode" w:hAnsi="Tahoma" w:cs="Tahoma"/>
      <w:kern w:val="1"/>
      <w:sz w:val="16"/>
      <w:szCs w:val="16"/>
    </w:rPr>
  </w:style>
  <w:style w:type="paragraph" w:styleId="Prrafodelista">
    <w:name w:val="List Paragraph"/>
    <w:basedOn w:val="Normal"/>
    <w:uiPriority w:val="34"/>
    <w:qFormat/>
    <w:rsid w:val="00131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1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12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218"/>
    <w:rPr>
      <w:rFonts w:ascii="Tahoma" w:eastAsia="Lucida Sans Unicode" w:hAnsi="Tahoma" w:cs="Tahoma"/>
      <w:kern w:val="1"/>
      <w:sz w:val="16"/>
      <w:szCs w:val="16"/>
    </w:rPr>
  </w:style>
  <w:style w:type="paragraph" w:styleId="Prrafodelista">
    <w:name w:val="List Paragraph"/>
    <w:basedOn w:val="Normal"/>
    <w:uiPriority w:val="34"/>
    <w:qFormat/>
    <w:rsid w:val="00131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quelgg\AppData\Roaming\Microsoft\Plantillas\PLANTILLA%20GESTION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GESTIONA.dotx</Template>
  <TotalTime>20</TotalTime>
  <Pages>2</Pages>
  <Words>822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Gutiérrez García</dc:creator>
  <cp:keywords/>
  <dc:description/>
  <cp:lastModifiedBy>ROMAN CALVO DE MORA BRITO E CUNHA</cp:lastModifiedBy>
  <cp:revision>2</cp:revision>
  <cp:lastPrinted>1901-01-01T00:00:00Z</cp:lastPrinted>
  <dcterms:created xsi:type="dcterms:W3CDTF">2020-03-02T08:57:00Z</dcterms:created>
  <dcterms:modified xsi:type="dcterms:W3CDTF">2020-03-02T08:57:00Z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ión 1">
    <vt:lpwstr/>
  </property>
  <property fmtid="{D5CDD505-2E9C-101B-9397-08002B2CF9AE}" pid="3" name="Información 2">
    <vt:lpwstr/>
  </property>
  <property fmtid="{D5CDD505-2E9C-101B-9397-08002B2CF9AE}" pid="4" name="Información 3">
    <vt:lpwstr/>
  </property>
  <property fmtid="{D5CDD505-2E9C-101B-9397-08002B2CF9AE}" pid="5" name="Información 4">
    <vt:lpwstr/>
  </property>
</Properties>
</file>